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839" w:rsidRPr="008D2961" w:rsidRDefault="00ED4839" w:rsidP="00ED4839">
      <w:pPr>
        <w:shd w:val="clear" w:color="auto" w:fill="FBFAF7"/>
        <w:spacing w:before="100" w:beforeAutospacing="1" w:after="72" w:line="240" w:lineRule="auto"/>
        <w:outlineLvl w:val="5"/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</w:pPr>
      <w:r w:rsidRPr="008D2961"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  <w:t>Пресс-релиз</w:t>
      </w:r>
    </w:p>
    <w:p w:rsidR="00ED4839" w:rsidRPr="008D2961" w:rsidRDefault="00ED4839" w:rsidP="00ED4839">
      <w:pPr>
        <w:shd w:val="clear" w:color="auto" w:fill="FBFAF7"/>
        <w:spacing w:before="101" w:after="100" w:afterAutospacing="1" w:line="240" w:lineRule="auto"/>
        <w:outlineLvl w:val="0"/>
        <w:rPr>
          <w:rFonts w:ascii="Georgia" w:hAnsi="Georgia" w:cs="Arial"/>
          <w:color w:val="666666"/>
          <w:w w:val="100"/>
          <w:kern w:val="36"/>
          <w:sz w:val="48"/>
          <w:szCs w:val="48"/>
          <w:lang w:val="ru-RU"/>
        </w:rPr>
      </w:pPr>
      <w:r w:rsidRPr="008D2961">
        <w:rPr>
          <w:rFonts w:ascii="Georgia" w:hAnsi="Georgia" w:cs="Arial"/>
          <w:color w:val="666666"/>
          <w:w w:val="100"/>
          <w:kern w:val="36"/>
          <w:sz w:val="48"/>
          <w:szCs w:val="48"/>
          <w:lang w:val="ru-RU"/>
        </w:rPr>
        <w:t>Материальное и нематериальное наследие — что именно достойно сохранения?</w:t>
      </w:r>
    </w:p>
    <w:p w:rsidR="00ED4839" w:rsidRPr="008D2961" w:rsidRDefault="00ED4839" w:rsidP="00ED4839">
      <w:pPr>
        <w:shd w:val="clear" w:color="auto" w:fill="FBFAF7"/>
        <w:spacing w:before="100" w:beforeAutospacing="1" w:after="72" w:line="240" w:lineRule="auto"/>
        <w:outlineLvl w:val="5"/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</w:pPr>
      <w:r w:rsidRPr="008D2961">
        <w:rPr>
          <w:rFonts w:ascii="Arial" w:hAnsi="Arial" w:cs="Arial"/>
          <w:b/>
          <w:bCs/>
          <w:color w:val="666666"/>
          <w:w w:val="100"/>
          <w:kern w:val="0"/>
          <w:sz w:val="24"/>
          <w:szCs w:val="24"/>
          <w:lang w:val="ru-RU"/>
        </w:rPr>
        <w:t>Лекционный день в ознаменование признания Святых мест бахаи в Хайфе и Акке объектами Всемирного наследия</w:t>
      </w:r>
    </w:p>
    <w:p w:rsidR="00ED4839" w:rsidRPr="008D2961" w:rsidRDefault="00ED4839" w:rsidP="00ED4839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ХАЙФА, Израиль, 20 февраля 2009 г. — Примерно 220 человек приняло участие в лекционном дне, прошедшем сегодня во Всемирном центре бахаи в ознаменование того, что Святые места бахаи в Хайфе и Акке были признаны объектами Всемирного наследия. Это мероприятие проводилось совместно Всемирным центром бахаи и Советом по сохранению объектов Всемирного наследия в Израиле. Председательствовал на этом событии архитектор Валид Каркаби, глава Департамента охраны культурных ценностей при муниципалитете Хайфы.</w:t>
      </w:r>
    </w:p>
    <w:p w:rsidR="00ED4839" w:rsidRPr="008D2961" w:rsidRDefault="00ED4839" w:rsidP="00ED4839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Профессор Майкл Тёрнер, председатель Израильского комитета Всемирного наследия, занимавшийся ведением процесса отбора объектов бахаи, прочёл лекцию о концепции Всемирного наследия и принципах, на которые она опирается. Он описал критерии отбора объектов Всемирного наследия, приводя Святые места бахаи в качестве примера того, что ценность их может быть не обязательно материальной.</w:t>
      </w:r>
    </w:p>
    <w:p w:rsidR="00ED4839" w:rsidRPr="008D2961" w:rsidRDefault="00ED4839" w:rsidP="00ED4839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Д-р Альберт Линкольн, Генеральный секретарь Международного Сообщества Бахаи, рассказал о процессе подготовки заявки по Святым местам бахаи, основной упор в которой делался на паломничестве. Поначалу бахаи предложили включить в него все места паломничества в Акке и Хайфе, но, в конце концов, в список попали только две территории, окружающие усыпальницы.</w:t>
      </w:r>
    </w:p>
    <w:p w:rsidR="00ED4839" w:rsidRPr="008D2961" w:rsidRDefault="00ED4839" w:rsidP="00ED4839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Места бахаи были включены в список согласно критерию № 6 Конвенции о Всемирном наследии</w:t>
      </w:r>
      <w:r w:rsidR="000340A3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,</w:t>
      </w: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как имеющие непосредственную или значительную связь с событиями или традициями, идеями или верованиями, а также художественными и литературными творениями, имеющими исключительную общечеловеческую значимость. </w:t>
      </w:r>
    </w:p>
    <w:p w:rsidR="00ED4839" w:rsidRPr="008D2961" w:rsidRDefault="00ED4839" w:rsidP="00ED4839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Архитектор Руфь Либерти Шалев, лектор по программе магистратуры курса охраны памятников при </w:t>
      </w:r>
      <w:r w:rsidR="00540BF4"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университете </w:t>
      </w:r>
      <w:r w:rsidR="00540BF4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«</w:t>
      </w: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Технион</w:t>
      </w:r>
      <w:r w:rsidR="00540BF4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»</w:t>
      </w: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, прочла лекцию о нематериальных ценностях в контексте памятников культуры и постепенном переходе учёных, работающих в этой области, от концепции сохранения единичных памятников и структур к сохранению их комплексов, поскольку взаимосвязь между </w:t>
      </w:r>
      <w:r w:rsidR="000340A3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отдельными объектами</w:t>
      </w: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имеет символическое значение или представляет социальные и исторические феномены. Раньше они </w:t>
      </w: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lastRenderedPageBreak/>
        <w:t>обращали внимание, по большей части, только на их архитектурную эстетику.</w:t>
      </w:r>
    </w:p>
    <w:p w:rsidR="00ED4839" w:rsidRPr="008D2961" w:rsidRDefault="00ED4839" w:rsidP="00ED4839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Д-р Нога Крайнер-Коллинз с факультета географии и экологических исследований при </w:t>
      </w:r>
      <w:r w:rsidR="00497BAB"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университете </w:t>
      </w: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Хайфы представила результаты недавно проведённого ею в садах бахаи исследования, в котором она изучала общее пространство, созданное «для использования одновременно и туристами, и паломниками». Исследование посвящено принципам сосуществования этих двух групп на одном пространстве</w:t>
      </w:r>
      <w:r w:rsidR="00497BA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,</w:t>
      </w: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и сделана попытка сформулировать рекомендации для других аналогичных мест.</w:t>
      </w:r>
    </w:p>
    <w:p w:rsidR="00ED4839" w:rsidRPr="008D2961" w:rsidRDefault="00ED4839" w:rsidP="00ED4839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Архитектор Ариэль Ватерман, главный инженер-градостроитель Хайфы, рассказал о выгодах наличия объектов Всемирного наследия в Хайфе и о том, какие шаги предпринимает муниципалитет с целью обеспечить буферную зону и оградить их от проблем, связанных с неадекватными строительными проектами. Из его речи вытекало, что преимущества значительно превышают недостатки</w:t>
      </w:r>
      <w:r w:rsidR="00497BAB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>,</w:t>
      </w: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 и что сады и святилища бахаи в Хайфе представляют собой символ города.  </w:t>
      </w:r>
    </w:p>
    <w:p w:rsidR="00ED4839" w:rsidRPr="008D2961" w:rsidRDefault="00ED4839" w:rsidP="00ED4839">
      <w:pPr>
        <w:shd w:val="clear" w:color="auto" w:fill="FBFAF7"/>
        <w:spacing w:before="100" w:beforeAutospacing="1" w:after="100" w:afterAutospacing="1" w:line="240" w:lineRule="auto"/>
        <w:ind w:left="162" w:right="162"/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</w:pPr>
      <w:r w:rsidRPr="008D2961">
        <w:rPr>
          <w:rFonts w:ascii="Arial" w:hAnsi="Arial" w:cs="Arial"/>
          <w:color w:val="666666"/>
          <w:w w:val="100"/>
          <w:kern w:val="0"/>
          <w:sz w:val="24"/>
          <w:szCs w:val="24"/>
          <w:lang w:val="ru-RU"/>
        </w:rPr>
        <w:t xml:space="preserve">В конце лекционного дня архитектор Дэнни Раз кратко рассказал о дилеммах, с которыми во многих местах сталкиваются учёные, занимающиеся сохранением памятников; некоторые из этих дилемм являются общими как для природных ландшафтов, так и для задач устойчивого планирования в целом. Во время этой презентации был упомянут стендовый доклад г-на Даниэля Мило, директора Центра этики в Иерусалиме, о том, какое именно наследие нужно сохранять и кто должен сделать этот выбор, а также действительно ли сохранение памятников и развитие территории противоречат друг другу. </w:t>
      </w:r>
    </w:p>
    <w:p w:rsidR="00ED4839" w:rsidRPr="008D2961" w:rsidRDefault="00097100" w:rsidP="00ED4839">
      <w:pPr>
        <w:shd w:val="clear" w:color="auto" w:fill="FBFAF7"/>
        <w:spacing w:before="100" w:beforeAutospacing="1" w:line="240" w:lineRule="auto"/>
        <w:rPr>
          <w:rFonts w:ascii="Arial" w:hAnsi="Arial" w:cs="Arial"/>
          <w:color w:val="666666"/>
          <w:w w:val="100"/>
          <w:kern w:val="0"/>
          <w:sz w:val="22"/>
          <w:szCs w:val="22"/>
          <w:lang w:val="ru-RU"/>
        </w:rPr>
      </w:pPr>
      <w:hyperlink r:id="rId7" w:history="1">
        <w:r w:rsidR="00ED4839" w:rsidRPr="008D2961">
          <w:rPr>
            <w:rFonts w:ascii="Arial" w:hAnsi="Arial" w:cs="Arial"/>
            <w:color w:val="0571AF"/>
            <w:w w:val="100"/>
            <w:kern w:val="0"/>
            <w:sz w:val="22"/>
            <w:szCs w:val="22"/>
            <w:bdr w:val="none" w:sz="0" w:space="0" w:color="auto" w:frame="1"/>
            <w:lang w:val="ru-RU"/>
          </w:rPr>
          <w:t>« Новости и интересные моменты</w:t>
        </w:r>
      </w:hyperlink>
      <w:r w:rsidR="00ED4839" w:rsidRPr="008D2961">
        <w:rPr>
          <w:rFonts w:ascii="Arial" w:hAnsi="Arial" w:cs="Arial"/>
          <w:color w:val="666666"/>
          <w:w w:val="100"/>
          <w:kern w:val="0"/>
          <w:sz w:val="22"/>
          <w:szCs w:val="22"/>
          <w:lang w:val="ru-RU"/>
        </w:rPr>
        <w:t xml:space="preserve"> </w:t>
      </w:r>
    </w:p>
    <w:p w:rsidR="00863083" w:rsidRPr="008D2961" w:rsidRDefault="00863083">
      <w:pPr>
        <w:rPr>
          <w:lang w:val="ru-RU"/>
        </w:rPr>
      </w:pPr>
    </w:p>
    <w:sectPr w:rsidR="00863083" w:rsidRPr="008D2961" w:rsidSect="007B5CB2">
      <w:headerReference w:type="default" r:id="rId8"/>
      <w:pgSz w:w="11906" w:h="16838" w:code="9"/>
      <w:pgMar w:top="1440" w:right="1440" w:bottom="1440" w:left="1440" w:header="720" w:footer="720" w:gutter="0"/>
      <w:cols w:space="720"/>
      <w:docGrid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CE6" w:rsidRDefault="00BE4CE6">
      <w:r>
        <w:separator/>
      </w:r>
    </w:p>
  </w:endnote>
  <w:endnote w:type="continuationSeparator" w:id="0">
    <w:p w:rsidR="00BE4CE6" w:rsidRDefault="00BE4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Ext Roman">
    <w:altName w:val="Times New Roman"/>
    <w:charset w:val="00"/>
    <w:family w:val="roman"/>
    <w:pitch w:val="variable"/>
    <w:sig w:usb0="00000000" w:usb1="4000387A" w:usb2="0000002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CE6" w:rsidRDefault="00BE4CE6">
      <w:r>
        <w:separator/>
      </w:r>
    </w:p>
  </w:footnote>
  <w:footnote w:type="continuationSeparator" w:id="0">
    <w:p w:rsidR="00BE4CE6" w:rsidRDefault="00BE4C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5580"/>
      <w:gridCol w:w="3447"/>
    </w:tblGrid>
    <w:tr w:rsidR="00863083">
      <w:tc>
        <w:tcPr>
          <w:tcW w:w="5580" w:type="dxa"/>
        </w:tcPr>
        <w:p w:rsidR="00863083" w:rsidRDefault="00863083">
          <w:pPr>
            <w:pStyle w:val="BWCNormal"/>
          </w:pPr>
        </w:p>
      </w:tc>
      <w:tc>
        <w:tcPr>
          <w:tcW w:w="3447" w:type="dxa"/>
        </w:tcPr>
        <w:p w:rsidR="00863083" w:rsidRDefault="00863083">
          <w:pPr>
            <w:pStyle w:val="BWCNormal"/>
            <w:jc w:val="right"/>
          </w:pPr>
        </w:p>
        <w:p w:rsidR="00863083" w:rsidRDefault="00863083">
          <w:pPr>
            <w:pStyle w:val="BWCNormal"/>
            <w:jc w:val="right"/>
          </w:pPr>
        </w:p>
      </w:tc>
    </w:tr>
  </w:tbl>
  <w:p w:rsidR="00863083" w:rsidRDefault="00863083">
    <w:pPr>
      <w:pStyle w:val="BWCNormal"/>
    </w:pPr>
  </w:p>
  <w:p w:rsidR="00863083" w:rsidRDefault="00863083">
    <w:pPr>
      <w:pStyle w:val="BWC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3D4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6CAD3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B123CC"/>
    <w:multiLevelType w:val="singleLevel"/>
    <w:tmpl w:val="5344D9A2"/>
    <w:lvl w:ilvl="0">
      <w:start w:val="1"/>
      <w:numFmt w:val="bullet"/>
      <w:pStyle w:val="BWC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361114"/>
    <w:multiLevelType w:val="singleLevel"/>
    <w:tmpl w:val="10001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9D65A0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5">
    <w:nsid w:val="1D3D608B"/>
    <w:multiLevelType w:val="singleLevel"/>
    <w:tmpl w:val="CBCA8FC0"/>
    <w:lvl w:ilvl="0">
      <w:start w:val="1"/>
      <w:numFmt w:val="decimal"/>
      <w:pStyle w:val="BWC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A6F2C3C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7">
    <w:nsid w:val="3FCD6481"/>
    <w:multiLevelType w:val="singleLevel"/>
    <w:tmpl w:val="6F9AF0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8">
    <w:nsid w:val="484E15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A8645CB"/>
    <w:multiLevelType w:val="singleLevel"/>
    <w:tmpl w:val="41747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1455673"/>
    <w:multiLevelType w:val="singleLevel"/>
    <w:tmpl w:val="04B4DA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57058ED"/>
    <w:multiLevelType w:val="singleLevel"/>
    <w:tmpl w:val="DCC63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1E06F61"/>
    <w:multiLevelType w:val="singleLevel"/>
    <w:tmpl w:val="83BE82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7B93BDC"/>
    <w:multiLevelType w:val="singleLevel"/>
    <w:tmpl w:val="10001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C4E7DC7"/>
    <w:multiLevelType w:val="singleLevel"/>
    <w:tmpl w:val="73BA0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4"/>
  </w:num>
  <w:num w:numId="5">
    <w:abstractNumId w:val="14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9"/>
  </w:num>
  <w:num w:numId="12">
    <w:abstractNumId w:val="9"/>
  </w:num>
  <w:num w:numId="13">
    <w:abstractNumId w:val="11"/>
  </w:num>
  <w:num w:numId="14">
    <w:abstractNumId w:val="12"/>
  </w:num>
  <w:num w:numId="15">
    <w:abstractNumId w:val="10"/>
  </w:num>
  <w:num w:numId="16">
    <w:abstractNumId w:val="10"/>
  </w:num>
  <w:num w:numId="17">
    <w:abstractNumId w:val="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576"/>
  <w:doNotHyphenateCaps/>
  <w:drawingGridHorizontalSpacing w:val="235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100"/>
    <w:rsid w:val="000340A3"/>
    <w:rsid w:val="00097100"/>
    <w:rsid w:val="00497BAB"/>
    <w:rsid w:val="00540BF4"/>
    <w:rsid w:val="005A731F"/>
    <w:rsid w:val="006E275E"/>
    <w:rsid w:val="007B5CB2"/>
    <w:rsid w:val="00831112"/>
    <w:rsid w:val="00863083"/>
    <w:rsid w:val="008D2961"/>
    <w:rsid w:val="00BE4CE6"/>
    <w:rsid w:val="00CE3F62"/>
    <w:rsid w:val="00ED4839"/>
    <w:rsid w:val="00ED7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731F"/>
    <w:pPr>
      <w:spacing w:line="252" w:lineRule="auto"/>
    </w:pPr>
    <w:rPr>
      <w:rFonts w:ascii="Times Ext Roman" w:hAnsi="Times Ext Roman" w:cs="Times Ext Roman"/>
      <w:w w:val="102"/>
      <w:kern w:val="20"/>
      <w:sz w:val="23"/>
      <w:szCs w:val="23"/>
      <w:lang w:val="en-GB"/>
    </w:rPr>
  </w:style>
  <w:style w:type="paragraph" w:styleId="1">
    <w:name w:val="heading 1"/>
    <w:basedOn w:val="a"/>
    <w:link w:val="10"/>
    <w:uiPriority w:val="9"/>
    <w:qFormat/>
    <w:rsid w:val="00ED4839"/>
    <w:pPr>
      <w:spacing w:before="101" w:after="100" w:afterAutospacing="1" w:line="240" w:lineRule="auto"/>
      <w:outlineLvl w:val="0"/>
    </w:pPr>
    <w:rPr>
      <w:rFonts w:ascii="Georgia" w:hAnsi="Georgia" w:cs="Times New Roman"/>
      <w:w w:val="100"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WCAddress">
    <w:name w:val="BWC Address"/>
    <w:basedOn w:val="a"/>
    <w:rsid w:val="005A731F"/>
    <w:pPr>
      <w:tabs>
        <w:tab w:val="left" w:pos="360"/>
      </w:tabs>
    </w:pPr>
  </w:style>
  <w:style w:type="paragraph" w:customStyle="1" w:styleId="BWCBodyText">
    <w:name w:val="BWC Body Text"/>
    <w:basedOn w:val="a"/>
    <w:rsid w:val="005A731F"/>
    <w:pPr>
      <w:ind w:firstLine="576"/>
    </w:pPr>
  </w:style>
  <w:style w:type="paragraph" w:customStyle="1" w:styleId="BWCClosing">
    <w:name w:val="BWC Closing"/>
    <w:basedOn w:val="a"/>
    <w:next w:val="BWCSignature"/>
    <w:rsid w:val="005A731F"/>
    <w:pPr>
      <w:spacing w:before="240" w:after="720"/>
      <w:ind w:left="4320"/>
    </w:pPr>
  </w:style>
  <w:style w:type="paragraph" w:customStyle="1" w:styleId="BWCGreeting">
    <w:name w:val="BWC Greeting"/>
    <w:basedOn w:val="a"/>
    <w:next w:val="BWCBodyText"/>
    <w:rsid w:val="005A731F"/>
    <w:pPr>
      <w:spacing w:before="480" w:after="240"/>
    </w:pPr>
  </w:style>
  <w:style w:type="paragraph" w:customStyle="1" w:styleId="BWCInternalInfo">
    <w:name w:val="BWC Internal Info"/>
    <w:basedOn w:val="a"/>
    <w:rsid w:val="005A731F"/>
  </w:style>
  <w:style w:type="paragraph" w:styleId="a3">
    <w:name w:val="Plain Text"/>
    <w:basedOn w:val="a"/>
    <w:rsid w:val="005A731F"/>
    <w:rPr>
      <w:rFonts w:ascii="Courier New" w:hAnsi="Courier New" w:cs="Courier New"/>
      <w:sz w:val="20"/>
      <w:szCs w:val="20"/>
    </w:rPr>
  </w:style>
  <w:style w:type="paragraph" w:customStyle="1" w:styleId="BWCXBCInfo">
    <w:name w:val="BWC XBC Info"/>
    <w:basedOn w:val="a"/>
    <w:rsid w:val="005A731F"/>
  </w:style>
  <w:style w:type="paragraph" w:customStyle="1" w:styleId="BWCFileInfo">
    <w:name w:val="BWC File Info"/>
    <w:basedOn w:val="a"/>
    <w:rsid w:val="005A731F"/>
  </w:style>
  <w:style w:type="character" w:customStyle="1" w:styleId="BWCComment">
    <w:name w:val="BWC Comment"/>
    <w:basedOn w:val="a0"/>
    <w:rsid w:val="005A731F"/>
    <w:rPr>
      <w:shd w:val="clear" w:color="auto" w:fill="C0C0C0"/>
    </w:rPr>
  </w:style>
  <w:style w:type="paragraph" w:styleId="a4">
    <w:name w:val="header"/>
    <w:basedOn w:val="a"/>
    <w:rsid w:val="005A731F"/>
    <w:pPr>
      <w:tabs>
        <w:tab w:val="right" w:pos="9000"/>
      </w:tabs>
    </w:pPr>
  </w:style>
  <w:style w:type="paragraph" w:customStyle="1" w:styleId="BWCAttrib">
    <w:name w:val="BWC Attrib"/>
    <w:basedOn w:val="BWCQuote"/>
    <w:next w:val="BWCBodyText"/>
    <w:rsid w:val="005A731F"/>
    <w:pPr>
      <w:tabs>
        <w:tab w:val="right" w:pos="9000"/>
      </w:tabs>
      <w:ind w:left="1238" w:right="216" w:hanging="86"/>
    </w:pPr>
  </w:style>
  <w:style w:type="paragraph" w:customStyle="1" w:styleId="BWCBullet">
    <w:name w:val="BWC Bullet"/>
    <w:basedOn w:val="a"/>
    <w:rsid w:val="005A731F"/>
    <w:pPr>
      <w:numPr>
        <w:numId w:val="17"/>
      </w:numPr>
    </w:pPr>
  </w:style>
  <w:style w:type="paragraph" w:customStyle="1" w:styleId="BWCList">
    <w:name w:val="BWC List"/>
    <w:basedOn w:val="BWCBullet"/>
    <w:rsid w:val="005A731F"/>
    <w:pPr>
      <w:numPr>
        <w:numId w:val="18"/>
      </w:numPr>
    </w:pPr>
  </w:style>
  <w:style w:type="paragraph" w:styleId="a5">
    <w:name w:val="footer"/>
    <w:basedOn w:val="a"/>
    <w:rsid w:val="005A731F"/>
    <w:pPr>
      <w:tabs>
        <w:tab w:val="center" w:pos="4320"/>
        <w:tab w:val="right" w:pos="8640"/>
      </w:tabs>
    </w:pPr>
  </w:style>
  <w:style w:type="paragraph" w:customStyle="1" w:styleId="BWCDate">
    <w:name w:val="BWC Date"/>
    <w:basedOn w:val="a"/>
    <w:next w:val="BWCNormal"/>
    <w:rsid w:val="005A731F"/>
    <w:pPr>
      <w:tabs>
        <w:tab w:val="right" w:pos="7747"/>
      </w:tabs>
      <w:spacing w:after="240"/>
    </w:pPr>
  </w:style>
  <w:style w:type="paragraph" w:customStyle="1" w:styleId="BWCSignature">
    <w:name w:val="BWC Signature"/>
    <w:basedOn w:val="BWCClosing"/>
    <w:next w:val="BWCNormal"/>
    <w:rsid w:val="005A731F"/>
    <w:pPr>
      <w:spacing w:before="0" w:after="480"/>
    </w:pPr>
  </w:style>
  <w:style w:type="paragraph" w:styleId="a6">
    <w:name w:val="footnote text"/>
    <w:basedOn w:val="a"/>
    <w:semiHidden/>
    <w:rsid w:val="005A731F"/>
    <w:rPr>
      <w:sz w:val="22"/>
      <w:szCs w:val="22"/>
    </w:rPr>
  </w:style>
  <w:style w:type="character" w:styleId="a7">
    <w:name w:val="page number"/>
    <w:basedOn w:val="a0"/>
    <w:rsid w:val="005A731F"/>
  </w:style>
  <w:style w:type="paragraph" w:customStyle="1" w:styleId="BWCQuote">
    <w:name w:val="BWC Quote"/>
    <w:basedOn w:val="BWCBodyText"/>
    <w:rsid w:val="005A731F"/>
    <w:pPr>
      <w:ind w:left="576" w:right="576" w:firstLine="0"/>
    </w:pPr>
  </w:style>
  <w:style w:type="paragraph" w:customStyle="1" w:styleId="BWCTitle">
    <w:name w:val="BWC Title"/>
    <w:basedOn w:val="a"/>
    <w:next w:val="BWCBodyText"/>
    <w:rsid w:val="005A731F"/>
    <w:pPr>
      <w:spacing w:after="240"/>
      <w:jc w:val="center"/>
    </w:pPr>
    <w:rPr>
      <w:u w:val="single"/>
    </w:rPr>
  </w:style>
  <w:style w:type="paragraph" w:customStyle="1" w:styleId="BWCNormal">
    <w:name w:val="BWC Normal"/>
    <w:basedOn w:val="a"/>
    <w:rsid w:val="005A731F"/>
  </w:style>
  <w:style w:type="paragraph" w:customStyle="1" w:styleId="BWCAttrib2">
    <w:name w:val="BWC Attrib 2"/>
    <w:basedOn w:val="BWCAttrib"/>
    <w:next w:val="BWCBodyText"/>
    <w:rsid w:val="005A731F"/>
    <w:pPr>
      <w:ind w:left="1814" w:right="576"/>
    </w:pPr>
  </w:style>
  <w:style w:type="paragraph" w:customStyle="1" w:styleId="BWCAttrib3">
    <w:name w:val="BWC Attrib 3"/>
    <w:basedOn w:val="BWCAttrib"/>
    <w:rsid w:val="005A731F"/>
    <w:pPr>
      <w:ind w:left="2390" w:right="1152"/>
    </w:pPr>
  </w:style>
  <w:style w:type="paragraph" w:customStyle="1" w:styleId="BWCQuote2">
    <w:name w:val="BWC Quote 2"/>
    <w:basedOn w:val="BWCQuote"/>
    <w:rsid w:val="005A731F"/>
    <w:pPr>
      <w:ind w:left="1152" w:right="1152"/>
    </w:pPr>
  </w:style>
  <w:style w:type="paragraph" w:customStyle="1" w:styleId="BWCAttrib4">
    <w:name w:val="BWC Attrib 4"/>
    <w:basedOn w:val="BWCAttrib"/>
    <w:next w:val="BWCBodyText"/>
    <w:rsid w:val="005A731F"/>
    <w:pPr>
      <w:ind w:left="2678" w:right="1728"/>
    </w:pPr>
  </w:style>
  <w:style w:type="paragraph" w:customStyle="1" w:styleId="BWCQuote3">
    <w:name w:val="BWC Quote 3"/>
    <w:basedOn w:val="BWCQuote"/>
    <w:rsid w:val="005A731F"/>
    <w:pPr>
      <w:ind w:left="1728" w:right="1728"/>
    </w:pPr>
  </w:style>
  <w:style w:type="character" w:customStyle="1" w:styleId="10">
    <w:name w:val="Заголовок 1 Знак"/>
    <w:basedOn w:val="a0"/>
    <w:link w:val="1"/>
    <w:uiPriority w:val="9"/>
    <w:rsid w:val="00ED4839"/>
    <w:rPr>
      <w:rFonts w:ascii="Georgia" w:hAnsi="Georgia"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246736">
      <w:bodyDiv w:val="1"/>
      <w:marLeft w:val="0"/>
      <w:marRight w:val="0"/>
      <w:marTop w:val="0"/>
      <w:marBottom w:val="5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327">
          <w:marLeft w:val="0"/>
          <w:marRight w:val="0"/>
          <w:marTop w:val="335"/>
          <w:marBottom w:val="100"/>
          <w:divBdr>
            <w:top w:val="single" w:sz="4" w:space="1" w:color="A19F8A"/>
            <w:left w:val="single" w:sz="4" w:space="0" w:color="A19F8A"/>
            <w:bottom w:val="single" w:sz="4" w:space="0" w:color="706F5A"/>
            <w:right w:val="single" w:sz="4" w:space="0" w:color="706F5A"/>
          </w:divBdr>
          <w:divsChild>
            <w:div w:id="351037307">
              <w:marLeft w:val="10"/>
              <w:marRight w:val="10"/>
              <w:marTop w:val="0"/>
              <w:marBottom w:val="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85447">
                      <w:marLeft w:val="0"/>
                      <w:marRight w:val="0"/>
                      <w:marTop w:val="15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07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862929">
                          <w:marLeft w:val="0"/>
                          <w:marRight w:val="0"/>
                          <w:marTop w:val="27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anbahai.org.il/en/learn-more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Standard BWC Letter</vt:lpstr>
    </vt:vector>
  </TitlesOfParts>
  <Company>BWC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BWC Letter</dc:title>
  <dc:subject/>
  <dc:creator>smohajer</dc:creator>
  <cp:keywords/>
  <dc:description/>
  <cp:lastModifiedBy>Vladimir Chupin</cp:lastModifiedBy>
  <cp:revision>3</cp:revision>
  <cp:lastPrinted>1999-08-11T08:39:00Z</cp:lastPrinted>
  <dcterms:created xsi:type="dcterms:W3CDTF">2010-04-24T17:28:00Z</dcterms:created>
  <dcterms:modified xsi:type="dcterms:W3CDTF">2010-05-08T07:31:00Z</dcterms:modified>
</cp:coreProperties>
</file>